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CA6" w:rsidRPr="00D74234" w:rsidRDefault="00810CA6" w:rsidP="00810CA6">
      <w:pPr>
        <w:jc w:val="center"/>
        <w:rPr>
          <w:rFonts w:ascii="Tahoma" w:hAnsi="Tahoma" w:cs="Tahoma"/>
          <w:b/>
          <w:color w:val="FF0000"/>
          <w:sz w:val="52"/>
          <w:szCs w:val="52"/>
        </w:rPr>
      </w:pPr>
      <w:r>
        <w:rPr>
          <w:rFonts w:ascii="Tahoma" w:hAnsi="Tahoma" w:cs="Tahoma"/>
          <w:b/>
          <w:noProof/>
          <w:color w:val="FF0000"/>
          <w:sz w:val="52"/>
          <w:szCs w:val="52"/>
        </w:rPr>
        <w:drawing>
          <wp:inline distT="0" distB="0" distL="0" distR="0">
            <wp:extent cx="4124325" cy="2066925"/>
            <wp:effectExtent l="19050" t="0" r="9525" b="0"/>
            <wp:docPr id="1" name="Рисунок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CA6" w:rsidRDefault="00810CA6" w:rsidP="00810CA6">
      <w:pPr>
        <w:jc w:val="center"/>
        <w:rPr>
          <w:rFonts w:ascii="Tahoma" w:hAnsi="Tahoma" w:cs="Tahoma"/>
          <w:b/>
          <w:color w:val="FF0000"/>
          <w:sz w:val="52"/>
          <w:szCs w:val="52"/>
        </w:rPr>
      </w:pPr>
    </w:p>
    <w:p w:rsidR="00810CA6" w:rsidRPr="00B55BFB" w:rsidRDefault="00810CA6" w:rsidP="00810CA6">
      <w:pPr>
        <w:jc w:val="center"/>
        <w:rPr>
          <w:rFonts w:ascii="Tahoma" w:hAnsi="Tahoma" w:cs="Tahoma"/>
          <w:b/>
          <w:color w:val="FF0000"/>
          <w:sz w:val="52"/>
          <w:szCs w:val="52"/>
        </w:rPr>
      </w:pPr>
      <w:r w:rsidRPr="00B55BFB">
        <w:rPr>
          <w:rFonts w:ascii="Tahoma" w:hAnsi="Tahoma" w:cs="Tahoma"/>
          <w:b/>
          <w:color w:val="FF0000"/>
          <w:sz w:val="52"/>
          <w:szCs w:val="52"/>
        </w:rPr>
        <w:t>ИНФОРМАЦИОННЫЙ БЮЛЛЕТЕНЬ</w:t>
      </w:r>
    </w:p>
    <w:p w:rsidR="00810CA6" w:rsidRDefault="00810CA6" w:rsidP="00810CA6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B55BFB">
        <w:rPr>
          <w:rFonts w:ascii="Tahoma" w:hAnsi="Tahoma" w:cs="Tahoma"/>
          <w:b/>
          <w:color w:val="FF0000"/>
          <w:sz w:val="28"/>
          <w:szCs w:val="28"/>
        </w:rPr>
        <w:t xml:space="preserve">о состоянии детского дорожно-транспортного травматизма </w:t>
      </w:r>
    </w:p>
    <w:p w:rsidR="00810CA6" w:rsidRDefault="00810CA6" w:rsidP="00810CA6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B55BFB">
        <w:rPr>
          <w:rFonts w:ascii="Tahoma" w:hAnsi="Tahoma" w:cs="Tahoma"/>
          <w:b/>
          <w:color w:val="FF0000"/>
          <w:sz w:val="28"/>
          <w:szCs w:val="28"/>
        </w:rPr>
        <w:t>на тер</w:t>
      </w:r>
      <w:r>
        <w:rPr>
          <w:rFonts w:ascii="Tahoma" w:hAnsi="Tahoma" w:cs="Tahoma"/>
          <w:b/>
          <w:color w:val="FF0000"/>
          <w:sz w:val="28"/>
          <w:szCs w:val="28"/>
        </w:rPr>
        <w:t xml:space="preserve">ритории города Екатеринбурга за 11 месяцев </w:t>
      </w:r>
      <w:r w:rsidRPr="00B55BFB">
        <w:rPr>
          <w:rFonts w:ascii="Tahoma" w:hAnsi="Tahoma" w:cs="Tahoma"/>
          <w:b/>
          <w:color w:val="FF0000"/>
          <w:sz w:val="28"/>
          <w:szCs w:val="28"/>
        </w:rPr>
        <w:t>201</w:t>
      </w:r>
      <w:r>
        <w:rPr>
          <w:rFonts w:ascii="Tahoma" w:hAnsi="Tahoma" w:cs="Tahoma"/>
          <w:b/>
          <w:color w:val="FF0000"/>
          <w:sz w:val="28"/>
          <w:szCs w:val="28"/>
        </w:rPr>
        <w:t xml:space="preserve">5 </w:t>
      </w:r>
      <w:r w:rsidRPr="00B55BFB">
        <w:rPr>
          <w:rFonts w:ascii="Tahoma" w:hAnsi="Tahoma" w:cs="Tahoma"/>
          <w:b/>
          <w:color w:val="FF0000"/>
          <w:sz w:val="28"/>
          <w:szCs w:val="28"/>
        </w:rPr>
        <w:t>год</w:t>
      </w:r>
      <w:r>
        <w:rPr>
          <w:rFonts w:ascii="Tahoma" w:hAnsi="Tahoma" w:cs="Tahoma"/>
          <w:b/>
          <w:color w:val="FF0000"/>
          <w:sz w:val="28"/>
          <w:szCs w:val="28"/>
        </w:rPr>
        <w:t>а</w:t>
      </w:r>
      <w:r w:rsidRPr="00B55BFB">
        <w:rPr>
          <w:rFonts w:ascii="Tahoma" w:hAnsi="Tahoma" w:cs="Tahoma"/>
          <w:b/>
          <w:color w:val="FF0000"/>
          <w:sz w:val="28"/>
          <w:szCs w:val="28"/>
        </w:rPr>
        <w:t>.</w:t>
      </w:r>
    </w:p>
    <w:p w:rsidR="00810CA6" w:rsidRDefault="00810CA6" w:rsidP="00810CA6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</w:p>
    <w:p w:rsidR="00810CA6" w:rsidRPr="00CE1E2C" w:rsidRDefault="00810CA6" w:rsidP="00810CA6">
      <w:pPr>
        <w:pStyle w:val="3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За</w:t>
      </w:r>
      <w:r w:rsidRPr="00932504">
        <w:rPr>
          <w:sz w:val="28"/>
          <w:szCs w:val="28"/>
        </w:rPr>
        <w:t xml:space="preserve"> 11</w:t>
      </w:r>
      <w:r w:rsidRPr="00CE1E2C">
        <w:rPr>
          <w:sz w:val="28"/>
          <w:szCs w:val="28"/>
        </w:rPr>
        <w:t xml:space="preserve"> месяцев 2015 год</w:t>
      </w:r>
      <w:r>
        <w:rPr>
          <w:sz w:val="28"/>
          <w:szCs w:val="28"/>
        </w:rPr>
        <w:t>а на территории Ленинского района</w:t>
      </w:r>
      <w:r w:rsidRPr="00CE1E2C">
        <w:rPr>
          <w:sz w:val="28"/>
          <w:szCs w:val="28"/>
        </w:rPr>
        <w:t xml:space="preserve"> зарегистрировано </w:t>
      </w:r>
      <w:r w:rsidRPr="00CE1E2C">
        <w:rPr>
          <w:b/>
          <w:sz w:val="28"/>
          <w:szCs w:val="28"/>
        </w:rPr>
        <w:t>9</w:t>
      </w:r>
      <w:r w:rsidRPr="00CE1E2C">
        <w:rPr>
          <w:b/>
          <w:sz w:val="28"/>
          <w:szCs w:val="28"/>
          <w:shd w:val="clear" w:color="auto" w:fill="FFFFFF"/>
        </w:rPr>
        <w:t xml:space="preserve">  ДТП</w:t>
      </w:r>
      <w:r w:rsidRPr="00CE1E2C">
        <w:rPr>
          <w:color w:val="000000"/>
          <w:sz w:val="28"/>
          <w:szCs w:val="28"/>
          <w:shd w:val="clear" w:color="auto" w:fill="FFFFFF"/>
        </w:rPr>
        <w:t>,</w:t>
      </w:r>
      <w:r w:rsidRPr="00CE1E2C">
        <w:rPr>
          <w:color w:val="FF0000"/>
          <w:sz w:val="28"/>
          <w:szCs w:val="28"/>
        </w:rPr>
        <w:t xml:space="preserve"> </w:t>
      </w:r>
      <w:r w:rsidRPr="00CE1E2C">
        <w:rPr>
          <w:color w:val="000000"/>
          <w:sz w:val="28"/>
          <w:szCs w:val="28"/>
        </w:rPr>
        <w:t xml:space="preserve">в которых </w:t>
      </w:r>
      <w:r>
        <w:rPr>
          <w:b/>
          <w:color w:val="000000"/>
          <w:sz w:val="28"/>
          <w:szCs w:val="28"/>
        </w:rPr>
        <w:t>9</w:t>
      </w:r>
      <w:r w:rsidRPr="00CE1E2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детей</w:t>
      </w:r>
      <w:r w:rsidRPr="00CE1E2C">
        <w:rPr>
          <w:color w:val="000000"/>
          <w:sz w:val="28"/>
          <w:szCs w:val="28"/>
        </w:rPr>
        <w:t xml:space="preserve"> получили </w:t>
      </w:r>
      <w:r>
        <w:rPr>
          <w:color w:val="000000"/>
          <w:sz w:val="28"/>
          <w:szCs w:val="28"/>
        </w:rPr>
        <w:t>травмы.</w:t>
      </w:r>
    </w:p>
    <w:p w:rsidR="00810CA6" w:rsidRDefault="00810CA6" w:rsidP="00810CA6">
      <w:pPr>
        <w:ind w:firstLine="708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115050" cy="146685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10CA6" w:rsidRPr="00CE1E2C" w:rsidRDefault="00810CA6" w:rsidP="00810CA6">
      <w:pPr>
        <w:ind w:firstLine="708"/>
        <w:jc w:val="both"/>
        <w:rPr>
          <w:b/>
          <w:color w:val="000000"/>
          <w:sz w:val="28"/>
          <w:szCs w:val="28"/>
        </w:rPr>
      </w:pPr>
      <w:r w:rsidRPr="004D6588">
        <w:rPr>
          <w:color w:val="000000"/>
          <w:sz w:val="28"/>
          <w:szCs w:val="28"/>
        </w:rPr>
        <w:t>В сравнении с аналогичным периодом прошлого года о</w:t>
      </w:r>
      <w:r w:rsidRPr="004D6588">
        <w:rPr>
          <w:bCs/>
          <w:color w:val="000000"/>
          <w:sz w:val="28"/>
          <w:szCs w:val="28"/>
        </w:rPr>
        <w:t xml:space="preserve">тмечается снижение количества дорожно-транспортных происшествий с участием детей </w:t>
      </w:r>
      <w:r w:rsidRPr="004D6588">
        <w:rPr>
          <w:color w:val="000000"/>
          <w:sz w:val="28"/>
          <w:szCs w:val="28"/>
        </w:rPr>
        <w:t xml:space="preserve">на </w:t>
      </w:r>
      <w:r>
        <w:rPr>
          <w:b/>
          <w:color w:val="000000"/>
          <w:sz w:val="28"/>
          <w:szCs w:val="28"/>
        </w:rPr>
        <w:t>25,0</w:t>
      </w:r>
      <w:r w:rsidRPr="004D6588">
        <w:rPr>
          <w:b/>
          <w:color w:val="000000"/>
          <w:sz w:val="28"/>
          <w:szCs w:val="28"/>
        </w:rPr>
        <w:t>%</w:t>
      </w:r>
      <w:r>
        <w:rPr>
          <w:b/>
          <w:color w:val="000000"/>
          <w:sz w:val="28"/>
          <w:szCs w:val="28"/>
        </w:rPr>
        <w:t xml:space="preserve">, по </w:t>
      </w:r>
      <w:r w:rsidRPr="004D6588">
        <w:rPr>
          <w:color w:val="000000"/>
          <w:sz w:val="28"/>
          <w:szCs w:val="28"/>
        </w:rPr>
        <w:t>количеств</w:t>
      </w:r>
      <w:r>
        <w:rPr>
          <w:color w:val="000000"/>
          <w:sz w:val="28"/>
          <w:szCs w:val="28"/>
        </w:rPr>
        <w:t>у</w:t>
      </w:r>
      <w:r w:rsidRPr="004D6588">
        <w:rPr>
          <w:color w:val="000000"/>
          <w:sz w:val="28"/>
          <w:szCs w:val="28"/>
        </w:rPr>
        <w:t xml:space="preserve"> травмированных детей-</w:t>
      </w:r>
      <w:r>
        <w:rPr>
          <w:color w:val="000000"/>
          <w:sz w:val="28"/>
          <w:szCs w:val="28"/>
        </w:rPr>
        <w:t xml:space="preserve"> </w:t>
      </w:r>
      <w:r w:rsidRPr="00CE1E2C">
        <w:rPr>
          <w:b/>
          <w:color w:val="000000"/>
          <w:sz w:val="28"/>
          <w:szCs w:val="28"/>
        </w:rPr>
        <w:t>на 2</w:t>
      </w:r>
      <w:r>
        <w:rPr>
          <w:b/>
          <w:color w:val="000000"/>
          <w:sz w:val="28"/>
          <w:szCs w:val="28"/>
        </w:rPr>
        <w:t>5</w:t>
      </w:r>
      <w:r w:rsidRPr="00CE1E2C">
        <w:rPr>
          <w:b/>
          <w:color w:val="000000"/>
          <w:sz w:val="28"/>
          <w:szCs w:val="28"/>
        </w:rPr>
        <w:t>,0%</w:t>
      </w:r>
      <w:r>
        <w:rPr>
          <w:b/>
          <w:color w:val="000000"/>
          <w:sz w:val="28"/>
          <w:szCs w:val="28"/>
        </w:rPr>
        <w:t>.</w:t>
      </w:r>
      <w:r w:rsidRPr="00CE1E2C">
        <w:rPr>
          <w:b/>
          <w:color w:val="000000"/>
          <w:sz w:val="28"/>
          <w:szCs w:val="28"/>
        </w:rPr>
        <w:t xml:space="preserve">  </w:t>
      </w:r>
    </w:p>
    <w:p w:rsidR="00810CA6" w:rsidRDefault="00810CA6" w:rsidP="00810CA6">
      <w:pPr>
        <w:ind w:firstLine="708"/>
        <w:jc w:val="both"/>
        <w:rPr>
          <w:color w:val="000000"/>
          <w:sz w:val="28"/>
          <w:szCs w:val="28"/>
        </w:rPr>
      </w:pPr>
    </w:p>
    <w:p w:rsidR="00810CA6" w:rsidRPr="003C0E84" w:rsidRDefault="00810CA6" w:rsidP="00810CA6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43175" cy="108585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1905000" cy="108585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sz w:val="28"/>
          <w:szCs w:val="28"/>
        </w:rPr>
        <w:t xml:space="preserve">              </w:t>
      </w:r>
    </w:p>
    <w:p w:rsidR="00810CA6" w:rsidRDefault="00810CA6" w:rsidP="00810CA6">
      <w:pPr>
        <w:ind w:firstLine="708"/>
        <w:jc w:val="both"/>
        <w:rPr>
          <w:color w:val="000000"/>
          <w:sz w:val="28"/>
          <w:szCs w:val="28"/>
        </w:rPr>
      </w:pPr>
    </w:p>
    <w:p w:rsidR="00810CA6" w:rsidRPr="00CE1E2C" w:rsidRDefault="00810CA6" w:rsidP="00810CA6">
      <w:pPr>
        <w:ind w:firstLine="708"/>
        <w:jc w:val="both"/>
        <w:rPr>
          <w:color w:val="000000"/>
          <w:sz w:val="28"/>
          <w:szCs w:val="28"/>
        </w:rPr>
      </w:pPr>
      <w:r w:rsidRPr="004D6588">
        <w:rPr>
          <w:color w:val="000000"/>
          <w:sz w:val="28"/>
          <w:szCs w:val="28"/>
        </w:rPr>
        <w:t xml:space="preserve">Из общего количества происшествий с участием </w:t>
      </w:r>
      <w:r>
        <w:rPr>
          <w:color w:val="000000"/>
          <w:sz w:val="28"/>
          <w:szCs w:val="28"/>
        </w:rPr>
        <w:t xml:space="preserve">несовершеннолетних по вине </w:t>
      </w:r>
      <w:r w:rsidRPr="004D6588">
        <w:rPr>
          <w:color w:val="000000"/>
          <w:sz w:val="28"/>
          <w:szCs w:val="28"/>
        </w:rPr>
        <w:t xml:space="preserve">детей </w:t>
      </w:r>
      <w:r>
        <w:rPr>
          <w:color w:val="000000"/>
          <w:sz w:val="28"/>
          <w:szCs w:val="28"/>
        </w:rPr>
        <w:t>произошло 2</w:t>
      </w:r>
      <w:r w:rsidRPr="00CE1E2C">
        <w:rPr>
          <w:b/>
          <w:color w:val="000000"/>
          <w:sz w:val="28"/>
          <w:szCs w:val="28"/>
        </w:rPr>
        <w:t xml:space="preserve"> ДТП</w:t>
      </w:r>
      <w:r w:rsidRPr="00CE1E2C">
        <w:rPr>
          <w:color w:val="000000"/>
          <w:sz w:val="28"/>
          <w:szCs w:val="28"/>
        </w:rPr>
        <w:t xml:space="preserve">, в результате которых </w:t>
      </w:r>
      <w:r>
        <w:rPr>
          <w:color w:val="000000"/>
          <w:sz w:val="28"/>
          <w:szCs w:val="28"/>
        </w:rPr>
        <w:t>7</w:t>
      </w:r>
      <w:r w:rsidRPr="00CE1E2C">
        <w:rPr>
          <w:b/>
          <w:color w:val="000000"/>
          <w:sz w:val="28"/>
          <w:szCs w:val="28"/>
        </w:rPr>
        <w:t xml:space="preserve">  получили травмы</w:t>
      </w:r>
      <w:r>
        <w:rPr>
          <w:color w:val="000000"/>
          <w:sz w:val="28"/>
          <w:szCs w:val="28"/>
        </w:rPr>
        <w:t>- это: 5</w:t>
      </w:r>
      <w:r w:rsidRPr="00CE1E2C">
        <w:rPr>
          <w:color w:val="000000"/>
          <w:sz w:val="28"/>
          <w:szCs w:val="28"/>
        </w:rPr>
        <w:t xml:space="preserve"> детей- пешеходов, 4 </w:t>
      </w:r>
      <w:r>
        <w:rPr>
          <w:color w:val="000000"/>
          <w:sz w:val="28"/>
          <w:szCs w:val="28"/>
        </w:rPr>
        <w:t>пассажира</w:t>
      </w:r>
      <w:r w:rsidRPr="00CE1E2C">
        <w:rPr>
          <w:color w:val="000000"/>
          <w:sz w:val="28"/>
          <w:szCs w:val="28"/>
        </w:rPr>
        <w:t>.</w:t>
      </w:r>
    </w:p>
    <w:p w:rsidR="00810CA6" w:rsidRPr="004D6588" w:rsidRDefault="00810CA6" w:rsidP="00810CA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Следует отметить, что 25</w:t>
      </w:r>
      <w:r w:rsidRPr="004D6588">
        <w:rPr>
          <w:color w:val="000000"/>
          <w:sz w:val="28"/>
          <w:szCs w:val="28"/>
        </w:rPr>
        <w:t>% дорожных происшествий с участием детей составляют наезды на пешеходов (</w:t>
      </w:r>
      <w:r>
        <w:rPr>
          <w:b/>
          <w:color w:val="000000"/>
          <w:sz w:val="28"/>
          <w:szCs w:val="28"/>
        </w:rPr>
        <w:t>5</w:t>
      </w:r>
      <w:r w:rsidRPr="004D6588">
        <w:rPr>
          <w:b/>
          <w:color w:val="000000"/>
          <w:sz w:val="28"/>
          <w:szCs w:val="28"/>
        </w:rPr>
        <w:t xml:space="preserve"> ДТП</w:t>
      </w:r>
      <w:r w:rsidRPr="004D6588">
        <w:rPr>
          <w:color w:val="000000"/>
          <w:sz w:val="28"/>
          <w:szCs w:val="28"/>
        </w:rPr>
        <w:t xml:space="preserve">), в результате которых </w:t>
      </w:r>
      <w:r>
        <w:rPr>
          <w:b/>
          <w:color w:val="000000"/>
          <w:sz w:val="28"/>
          <w:szCs w:val="28"/>
        </w:rPr>
        <w:t>9</w:t>
      </w:r>
      <w:r w:rsidRPr="004D6588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 получили ранения.</w:t>
      </w:r>
    </w:p>
    <w:p w:rsidR="00810CA6" w:rsidRDefault="00810CA6" w:rsidP="00810CA6">
      <w:pPr>
        <w:jc w:val="both"/>
        <w:rPr>
          <w:color w:val="000000"/>
          <w:sz w:val="28"/>
          <w:szCs w:val="28"/>
        </w:rPr>
      </w:pPr>
      <w:r w:rsidRPr="004D6588">
        <w:rPr>
          <w:color w:val="000000"/>
          <w:sz w:val="28"/>
          <w:szCs w:val="28"/>
        </w:rPr>
        <w:t xml:space="preserve">                       </w:t>
      </w:r>
    </w:p>
    <w:p w:rsidR="00810CA6" w:rsidRPr="00D74234" w:rsidRDefault="00810CA6" w:rsidP="00810CA6">
      <w:pPr>
        <w:tabs>
          <w:tab w:val="num" w:pos="0"/>
        </w:tabs>
        <w:jc w:val="both"/>
        <w:rPr>
          <w:b/>
          <w:color w:val="000000"/>
        </w:rPr>
      </w:pPr>
    </w:p>
    <w:p w:rsidR="007B4ECA" w:rsidRDefault="007B4ECA"/>
    <w:sectPr w:rsidR="007B4ECA" w:rsidSect="00FC0020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10CA6"/>
    <w:rsid w:val="007B4ECA"/>
    <w:rsid w:val="0081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10C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10C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0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C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28"/>
      <c:hPercent val="21"/>
      <c:rotY val="3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1377840457745979E-2"/>
                  <c:y val="-0.10266512140527874"/>
                </c:manualLayout>
              </c:layout>
              <c:showVal val="1"/>
            </c:dLbl>
            <c:dLbl>
              <c:idx val="1"/>
              <c:layout>
                <c:manualLayout>
                  <c:x val="-3.818199370943999E-2"/>
                  <c:y val="-0.11655401029416787"/>
                </c:manualLayout>
              </c:layout>
              <c:showVal val="1"/>
            </c:dLbl>
            <c:dLbl>
              <c:idx val="2"/>
              <c:layout>
                <c:manualLayout>
                  <c:xMode val="edge"/>
                  <c:yMode val="edge"/>
                  <c:x val="0.77848101265822833"/>
                  <c:y val="0.63888888888888906"/>
                </c:manualLayout>
              </c:layout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dLbl>
              <c:idx val="3"/>
              <c:layout>
                <c:manualLayout>
                  <c:xMode val="edge"/>
                  <c:yMode val="edge"/>
                  <c:x val="0.78006329113924056"/>
                  <c:y val="0.68055555555555569"/>
                </c:manualLayout>
              </c:layout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spPr>
              <a:noFill/>
              <a:ln w="25397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Sheet1!$B$1:$C$1</c:f>
              <c:numCache>
                <c:formatCode>General</c:formatCode>
                <c:ptCount val="2"/>
                <c:pt idx="0">
                  <c:v>2014</c:v>
                </c:pt>
                <c:pt idx="1">
                  <c:v>2015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3.8604629644291332E-3"/>
                  <c:y val="-2.9586017656883783E-2"/>
                </c:manualLayout>
              </c:layout>
              <c:showVal val="1"/>
            </c:dLbl>
            <c:dLbl>
              <c:idx val="1"/>
              <c:layout>
                <c:manualLayout>
                  <c:x val="-4.7471734760234016E-2"/>
                  <c:y val="-4.2428219199872726E-2"/>
                </c:manualLayout>
              </c:layout>
              <c:showVal val="1"/>
            </c:dLbl>
            <c:dLbl>
              <c:idx val="2"/>
              <c:layout>
                <c:manualLayout>
                  <c:xMode val="edge"/>
                  <c:yMode val="edge"/>
                  <c:x val="0.80854430379746811"/>
                  <c:y val="0.13194444444444456"/>
                </c:manualLayout>
              </c:layout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dLbl>
              <c:idx val="3"/>
              <c:layout>
                <c:manualLayout>
                  <c:xMode val="edge"/>
                  <c:yMode val="edge"/>
                  <c:x val="0.82436708860759489"/>
                  <c:y val="0.15277777777777779"/>
                </c:manualLayout>
              </c:layout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dLbl>
              <c:idx val="4"/>
              <c:layout>
                <c:manualLayout>
                  <c:xMode val="edge"/>
                  <c:yMode val="edge"/>
                  <c:x val="0.81803797468354456"/>
                  <c:y val="0.18055555555555555"/>
                </c:manualLayout>
              </c:layout>
              <c:spPr>
                <a:noFill/>
                <a:ln w="25397">
                  <a:noFill/>
                </a:ln>
              </c:spPr>
              <c:txPr>
                <a:bodyPr/>
                <a:lstStyle/>
                <a:p>
                  <a:pPr>
                    <a:defRPr sz="800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showVal val="1"/>
            </c:dLbl>
            <c:spPr>
              <a:noFill/>
              <a:ln w="2539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Sheet1!$B$1:$C$1</c:f>
              <c:numCache>
                <c:formatCode>General</c:formatCode>
                <c:ptCount val="2"/>
                <c:pt idx="0">
                  <c:v>2014</c:v>
                </c:pt>
                <c:pt idx="1">
                  <c:v>2015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12</c:v>
                </c:pt>
                <c:pt idx="1">
                  <c:v>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1736539409564383E-2"/>
                  <c:y val="-2.9586017656883783E-2"/>
                </c:manualLayout>
              </c:layout>
              <c:showVal val="1"/>
            </c:dLbl>
            <c:dLbl>
              <c:idx val="1"/>
              <c:layout>
                <c:manualLayout>
                  <c:x val="-5.560890960143057E-2"/>
                  <c:y val="-3.5483774755428264E-2"/>
                </c:manualLayout>
              </c:layout>
              <c:showVal val="1"/>
            </c:dLbl>
            <c:spPr>
              <a:noFill/>
              <a:ln w="25397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numRef>
              <c:f>Sheet1!$B$1:$C$1</c:f>
              <c:numCache>
                <c:formatCode>General</c:formatCode>
                <c:ptCount val="2"/>
                <c:pt idx="0">
                  <c:v>2014</c:v>
                </c:pt>
                <c:pt idx="1">
                  <c:v>2015</c:v>
                </c:pt>
              </c:numCache>
            </c:numRef>
          </c:cat>
          <c:val>
            <c:numRef>
              <c:f>Sheet1!$B$4:$C$4</c:f>
              <c:numCache>
                <c:formatCode>General</c:formatCode>
                <c:ptCount val="2"/>
                <c:pt idx="0">
                  <c:v>12</c:v>
                </c:pt>
                <c:pt idx="1">
                  <c:v>9</c:v>
                </c:pt>
              </c:numCache>
            </c:numRef>
          </c:val>
          <c:shape val="box"/>
        </c:ser>
        <c:dLbls>
          <c:showVal val="1"/>
        </c:dLbls>
        <c:gapDepth val="0"/>
        <c:shape val="cylinder"/>
        <c:axId val="96078080"/>
        <c:axId val="141349248"/>
        <c:axId val="0"/>
      </c:bar3DChart>
      <c:catAx>
        <c:axId val="9607808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1349248"/>
        <c:crosses val="autoZero"/>
        <c:auto val="1"/>
        <c:lblAlgn val="ctr"/>
        <c:lblOffset val="100"/>
        <c:tickLblSkip val="1"/>
        <c:tickMarkSkip val="1"/>
      </c:catAx>
      <c:valAx>
        <c:axId val="141349248"/>
        <c:scaling>
          <c:orientation val="minMax"/>
        </c:scaling>
        <c:delete val="1"/>
        <c:axPos val="l"/>
        <c:numFmt formatCode="General" sourceLinked="1"/>
        <c:tickLblPos val="none"/>
        <c:crossAx val="96078080"/>
        <c:crosses val="autoZero"/>
        <c:crossBetween val="between"/>
      </c:valAx>
      <c:spPr>
        <a:noFill/>
        <a:ln w="25397">
          <a:noFill/>
        </a:ln>
      </c:spPr>
    </c:plotArea>
    <c:legend>
      <c:legendPos val="r"/>
      <c:layout>
        <c:manualLayout>
          <c:xMode val="edge"/>
          <c:yMode val="edge"/>
          <c:x val="0.85601265822784811"/>
          <c:y val="0.33333333333333331"/>
          <c:w val="0.13924050632911392"/>
          <c:h val="0.2777777777777779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ДТП</a:t>
            </a:r>
          </a:p>
        </c:rich>
      </c:tx>
      <c:layout>
        <c:manualLayout>
          <c:xMode val="edge"/>
          <c:yMode val="edge"/>
          <c:x val="0.8132295719844358"/>
          <c:y val="0"/>
        </c:manualLayout>
      </c:layout>
      <c:spPr>
        <a:noFill/>
        <a:ln w="25396">
          <a:noFill/>
        </a:ln>
      </c:spPr>
    </c:title>
    <c:plotArea>
      <c:layout>
        <c:manualLayout>
          <c:layoutTarget val="inner"/>
          <c:xMode val="edge"/>
          <c:yMode val="edge"/>
          <c:x val="0.1245136186770428"/>
          <c:y val="3.8461538461538464E-2"/>
          <c:w val="0.37743190661478598"/>
          <c:h val="0.9326923076923077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8000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6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Percent val="1"/>
            <c:showLeaderLines val="1"/>
          </c:dLbls>
          <c:cat>
            <c:strRef>
              <c:f>Sheet1!$B$1:$D$1</c:f>
              <c:strCache>
                <c:ptCount val="3"/>
                <c:pt idx="0">
                  <c:v>пассажиры</c:v>
                </c:pt>
                <c:pt idx="1">
                  <c:v>пешеходы</c:v>
                </c:pt>
                <c:pt idx="2">
                  <c:v>водители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4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 w="25396">
          <a:noFill/>
        </a:ln>
      </c:spPr>
    </c:plotArea>
    <c:legend>
      <c:legendPos val="r"/>
      <c:layout>
        <c:manualLayout>
          <c:xMode val="edge"/>
          <c:yMode val="edge"/>
          <c:x val="0.61089494163424152"/>
          <c:y val="0.15384615384615394"/>
          <c:w val="0.30739299610894966"/>
          <c:h val="0.58653846153846156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gradFill rotWithShape="0">
      <a:gsLst>
        <a:gs pos="0">
          <a:srgbClr val="CCFFFF">
            <a:gamma/>
            <a:tint val="3922"/>
            <a:invGamma/>
          </a:srgbClr>
        </a:gs>
        <a:gs pos="100000">
          <a:srgbClr val="CCFFFF"/>
        </a:gs>
      </a:gsLst>
      <a:lin ang="0" scaled="1"/>
    </a:gradFill>
    <a:ln>
      <a:noFill/>
    </a:ln>
  </c:spPr>
  <c:txPr>
    <a:bodyPr/>
    <a:lstStyle/>
    <a:p>
      <a:pPr>
        <a:defRPr sz="4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Ранено</a:t>
            </a:r>
          </a:p>
        </c:rich>
      </c:tx>
      <c:layout>
        <c:manualLayout>
          <c:xMode val="edge"/>
          <c:yMode val="edge"/>
          <c:x val="0.66315789473684228"/>
          <c:y val="0"/>
        </c:manualLayout>
      </c:layout>
      <c:spPr>
        <a:noFill/>
        <a:ln w="25396">
          <a:noFill/>
        </a:ln>
      </c:spPr>
    </c:title>
    <c:plotArea>
      <c:layout>
        <c:manualLayout>
          <c:layoutTarget val="inner"/>
          <c:xMode val="edge"/>
          <c:yMode val="edge"/>
          <c:x val="5.7894736842105325E-2"/>
          <c:y val="3.8461538461538471E-2"/>
          <c:w val="0.51052631578947349"/>
          <c:h val="0.93269230769230771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008000"/>
              </a:solidFill>
              <a:ln w="12698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396">
                <a:noFill/>
              </a:ln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dLblPos val="ctr"/>
            <c:showPercent val="1"/>
            <c:showLeaderLines val="1"/>
          </c:dLbls>
          <c:cat>
            <c:strRef>
              <c:f>Sheet1!$B$1:$D$1</c:f>
              <c:strCache>
                <c:ptCount val="3"/>
                <c:pt idx="0">
                  <c:v>пассажиры</c:v>
                </c:pt>
                <c:pt idx="1">
                  <c:v>пешеходы</c:v>
                </c:pt>
                <c:pt idx="2">
                  <c:v>водители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4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 w="25396">
          <a:noFill/>
        </a:ln>
      </c:spPr>
    </c:plotArea>
    <c:plotVisOnly val="1"/>
    <c:dispBlanksAs val="zero"/>
  </c:chart>
  <c:spPr>
    <a:gradFill rotWithShape="0">
      <a:gsLst>
        <a:gs pos="0">
          <a:srgbClr val="CCFFFF"/>
        </a:gs>
        <a:gs pos="100000">
          <a:srgbClr val="CCFFFF">
            <a:gamma/>
            <a:tint val="0"/>
            <a:invGamma/>
          </a:srgbClr>
        </a:gs>
      </a:gsLst>
      <a:lin ang="0" scaled="1"/>
    </a:gradFill>
    <a:ln>
      <a:noFill/>
    </a:ln>
  </c:spPr>
  <c:txPr>
    <a:bodyPr/>
    <a:lstStyle/>
    <a:p>
      <a:pPr>
        <a:defRPr sz="4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2015-12-10T16:44:00Z</dcterms:created>
  <dcterms:modified xsi:type="dcterms:W3CDTF">2015-12-10T16:44:00Z</dcterms:modified>
</cp:coreProperties>
</file>